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50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150"/>
        <w:gridCol w:w="5112"/>
        <w:gridCol w:w="240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FFFFFF" w:sz="8" w:space="0"/>
            </w:tcBorders>
            <w:shd w:val="clear" w:color="auto" w:fill="4F81BD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FFFFFF"/>
                <w:lang w:eastAsia="hr-HR"/>
              </w:rPr>
            </w:pPr>
            <w:r>
              <w:rPr>
                <w:color w:val="FFFFFF"/>
                <w:sz w:val="28"/>
                <w:szCs w:val="28"/>
                <w:lang w:eastAsia="hr-HR"/>
              </w:rPr>
              <w:t>DJEČJI VRTIĆ ZLATOKOSA BOROVO</w:t>
            </w: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FFFFFF" w:sz="8" w:space="0"/>
            </w:tcBorders>
            <w:shd w:val="clear" w:color="auto" w:fill="4F81BD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FFFFFF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FFFFFF" w:sz="8" w:space="0"/>
            </w:tcBorders>
            <w:shd w:val="clear" w:color="auto" w:fill="4F81BD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FFFFFF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FFFFFF" w:sz="8" w:space="0"/>
            </w:tcBorders>
            <w:shd w:val="clear" w:color="auto" w:fill="4F81BD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FFFFFF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8" w:type="dxa"/>
            <w:gridSpan w:val="2"/>
            <w:tcBorders>
              <w:top w:val="single" w:color="FFFFFF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N.Tesle bb, 32 227 Borovo</w:t>
            </w:r>
          </w:p>
        </w:tc>
        <w:tc>
          <w:tcPr>
            <w:tcW w:w="5112" w:type="dxa"/>
            <w:tcBorders>
              <w:top w:val="single" w:color="FFFFFF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FFFFFF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rFonts w:hint="default"/>
                <w:color w:val="000000"/>
                <w:lang w:val="en-US" w:eastAsia="hr-HR"/>
              </w:rPr>
            </w:pPr>
            <w:r>
              <w:rPr>
                <w:color w:val="000000"/>
                <w:lang w:val="en-US" w:eastAsia="hr-HR"/>
              </w:rPr>
              <w:t>KLASA:400-0</w:t>
            </w:r>
            <w:r>
              <w:rPr>
                <w:rFonts w:hint="default"/>
                <w:color w:val="000000"/>
                <w:lang w:val="en-US" w:eastAsia="hr-HR"/>
              </w:rPr>
              <w:t>6</w:t>
            </w:r>
            <w:r>
              <w:rPr>
                <w:color w:val="000000"/>
                <w:lang w:val="en-US" w:eastAsia="hr-HR"/>
              </w:rPr>
              <w:t>/2</w:t>
            </w:r>
            <w:r>
              <w:rPr>
                <w:rFonts w:hint="default"/>
                <w:color w:val="000000"/>
                <w:lang w:val="en-US" w:eastAsia="hr-HR"/>
              </w:rPr>
              <w:t>3</w:t>
            </w:r>
            <w:r>
              <w:rPr>
                <w:color w:val="000000"/>
                <w:lang w:val="en-US" w:eastAsia="hr-HR"/>
              </w:rPr>
              <w:t>-01/</w:t>
            </w:r>
            <w:r>
              <w:rPr>
                <w:rFonts w:hint="default"/>
                <w:color w:val="000000"/>
                <w:lang w:val="en-US" w:eastAsia="hr-HR"/>
              </w:rPr>
              <w:t>1</w:t>
            </w: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eastAsia="hr-HR"/>
              </w:rPr>
              <w:t>URBROJ:</w:t>
            </w:r>
          </w:p>
        </w:tc>
        <w:tc>
          <w:tcPr>
            <w:tcW w:w="415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rFonts w:hint="default"/>
                <w:color w:val="000000"/>
                <w:lang w:val="hr-HR" w:eastAsia="hr-HR"/>
              </w:rPr>
            </w:pPr>
            <w:r>
              <w:rPr>
                <w:color w:val="000000"/>
                <w:lang w:val="hr-HR"/>
              </w:rPr>
              <w:t>2196</w:t>
            </w:r>
            <w:r>
              <w:rPr>
                <w:rFonts w:hint="default"/>
                <w:color w:val="000000"/>
                <w:lang w:val="hr-HR"/>
              </w:rPr>
              <w:t>-9</w:t>
            </w:r>
            <w:r>
              <w:rPr>
                <w:color w:val="000000"/>
                <w:lang w:val="hr-HR"/>
              </w:rPr>
              <w:t>-1-0</w:t>
            </w:r>
            <w:r>
              <w:rPr>
                <w:rFonts w:hint="default"/>
                <w:color w:val="000000"/>
                <w:lang w:val="sr-Cyrl-RS"/>
              </w:rPr>
              <w:t>3</w:t>
            </w:r>
            <w:r>
              <w:rPr>
                <w:color w:val="000000"/>
                <w:lang w:val="hr-HR"/>
              </w:rPr>
              <w:t>-2</w:t>
            </w:r>
            <w:r>
              <w:rPr>
                <w:rFonts w:hint="default"/>
                <w:color w:val="000000"/>
                <w:lang w:val="hr-HR"/>
              </w:rPr>
              <w:t>3</w:t>
            </w:r>
            <w:r>
              <w:rPr>
                <w:color w:val="000000"/>
                <w:lang w:val="hr-HR"/>
              </w:rPr>
              <w:t>-0</w:t>
            </w:r>
            <w:r>
              <w:rPr>
                <w:rFonts w:hint="default"/>
                <w:color w:val="000000"/>
                <w:lang w:val="hr-HR"/>
              </w:rPr>
              <w:t>1</w:t>
            </w: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Borovo, </w:t>
            </w:r>
            <w:r>
              <w:rPr>
                <w:rFonts w:hint="default"/>
                <w:color w:val="000000"/>
                <w:lang w:val="en-US" w:eastAsia="hr-HR"/>
              </w:rPr>
              <w:t>21</w:t>
            </w:r>
            <w:r>
              <w:rPr>
                <w:color w:val="000000"/>
                <w:lang w:eastAsia="hr-HR"/>
              </w:rPr>
              <w:t>.</w:t>
            </w:r>
            <w:r>
              <w:rPr>
                <w:rFonts w:hint="default"/>
                <w:color w:val="000000"/>
                <w:lang w:val="en-US" w:eastAsia="hr-HR"/>
              </w:rPr>
              <w:t>6</w:t>
            </w:r>
            <w:r>
              <w:rPr>
                <w:color w:val="000000"/>
                <w:lang w:eastAsia="hr-HR"/>
              </w:rPr>
              <w:t>.20</w:t>
            </w:r>
            <w:r>
              <w:rPr>
                <w:color w:val="000000"/>
                <w:lang w:val="en-US" w:eastAsia="hr-HR"/>
              </w:rPr>
              <w:t>2</w:t>
            </w:r>
            <w:r>
              <w:rPr>
                <w:rFonts w:hint="default"/>
                <w:color w:val="000000"/>
                <w:lang w:val="en-US" w:eastAsia="hr-HR"/>
              </w:rPr>
              <w:t>3</w:t>
            </w:r>
            <w:r>
              <w:rPr>
                <w:color w:val="000000"/>
                <w:lang w:eastAsia="hr-HR"/>
              </w:rPr>
              <w:t>.</w:t>
            </w: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415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50" w:type="dxa"/>
            <w:gridSpan w:val="5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Na temelju odredbe čl. 39 st. 2. Zakona o proračunu (N.N.87/08.) Statuta D V ZLATOKOSA BOROVO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10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Upravno vijeće na </w:t>
            </w:r>
            <w:r>
              <w:rPr>
                <w:rFonts w:hint="default"/>
                <w:color w:val="000000"/>
                <w:lang w:val="en-US" w:eastAsia="hr-HR"/>
              </w:rPr>
              <w:t xml:space="preserve">  16. </w:t>
            </w:r>
            <w:r>
              <w:rPr>
                <w:color w:val="000000"/>
                <w:lang w:val="en-US" w:eastAsia="hr-HR"/>
              </w:rPr>
              <w:t xml:space="preserve"> sj</w:t>
            </w:r>
            <w:r>
              <w:rPr>
                <w:color w:val="000000"/>
                <w:lang w:eastAsia="hr-HR"/>
              </w:rPr>
              <w:t xml:space="preserve">ednici održanoj dana  </w:t>
            </w:r>
            <w:r>
              <w:rPr>
                <w:rFonts w:hint="default"/>
                <w:color w:val="000000"/>
                <w:lang w:val="en-US" w:eastAsia="hr-HR"/>
              </w:rPr>
              <w:t xml:space="preserve"> 21.6.2023.   </w:t>
            </w:r>
            <w:r>
              <w:rPr>
                <w:color w:val="000000"/>
                <w:lang w:eastAsia="hr-HR"/>
              </w:rPr>
              <w:t>donelo je</w:t>
            </w: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415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70" w:type="dxa"/>
            <w:gridSpan w:val="3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rFonts w:hint="default"/>
                <w:color w:val="000000"/>
                <w:lang w:val="en-US"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ODLUKU O IZMJENAMA I DOPUNAMA PRORAČUNA DJ</w:t>
            </w:r>
            <w:r>
              <w:rPr>
                <w:rFonts w:hint="default"/>
                <w:b/>
                <w:bCs/>
                <w:color w:val="000000"/>
                <w:lang w:val="en-US" w:eastAsia="hr-HR"/>
              </w:rPr>
              <w:t>E</w:t>
            </w:r>
            <w:r>
              <w:rPr>
                <w:b/>
                <w:bCs/>
                <w:color w:val="000000"/>
                <w:lang w:eastAsia="hr-HR"/>
              </w:rPr>
              <w:t>ČJEG VRTIĆA</w:t>
            </w:r>
            <w:r>
              <w:rPr>
                <w:rFonts w:hint="default"/>
                <w:b/>
                <w:bCs/>
                <w:color w:val="000000"/>
                <w:lang w:val="en-US" w:eastAsia="hr-HR"/>
              </w:rPr>
              <w:t xml:space="preserve">  </w:t>
            </w:r>
            <w:r>
              <w:rPr>
                <w:b/>
                <w:bCs/>
                <w:color w:val="000000"/>
                <w:lang w:eastAsia="hr-HR"/>
              </w:rPr>
              <w:t>ZLATOKOSA BOROVO  ZA 20</w:t>
            </w:r>
            <w:r>
              <w:rPr>
                <w:b/>
                <w:bCs/>
                <w:color w:val="000000"/>
                <w:lang w:val="en-US" w:eastAsia="hr-HR"/>
              </w:rPr>
              <w:t>2</w:t>
            </w:r>
            <w:r>
              <w:rPr>
                <w:rFonts w:hint="default"/>
                <w:b/>
                <w:bCs/>
                <w:color w:val="000000"/>
                <w:lang w:val="en-US" w:eastAsia="hr-HR"/>
              </w:rPr>
              <w:t>3</w:t>
            </w:r>
            <w:r>
              <w:rPr>
                <w:b/>
                <w:bCs/>
                <w:color w:val="000000"/>
                <w:lang w:eastAsia="hr-HR"/>
              </w:rPr>
              <w:t>. GODINU</w:t>
            </w: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58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8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415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5112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10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pacing w:before="0" w:after="0" w:line="240" w:lineRule="auto"/>
              <w:jc w:val="both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Proračun Dj</w:t>
            </w:r>
            <w:r>
              <w:rPr>
                <w:color w:val="000000"/>
                <w:lang w:val="en-US" w:eastAsia="hr-HR"/>
              </w:rPr>
              <w:t>e</w:t>
            </w:r>
            <w:r>
              <w:rPr>
                <w:color w:val="000000"/>
                <w:lang w:eastAsia="hr-HR"/>
              </w:rPr>
              <w:t>čjeg vrtića ZLATOKOSA BOROVO</w:t>
            </w:r>
            <w:r>
              <w:rPr>
                <w:color w:val="000000"/>
                <w:lang w:val="en-US" w:eastAsia="hr-HR"/>
              </w:rPr>
              <w:t xml:space="preserve"> za 202</w:t>
            </w:r>
            <w:r>
              <w:rPr>
                <w:rFonts w:hint="default"/>
                <w:color w:val="000000"/>
                <w:lang w:val="en-US" w:eastAsia="hr-HR"/>
              </w:rPr>
              <w:t>3</w:t>
            </w:r>
            <w:r>
              <w:rPr>
                <w:color w:val="000000"/>
                <w:lang w:val="en-US" w:eastAsia="hr-HR"/>
              </w:rPr>
              <w:t>.</w:t>
            </w:r>
            <w:r>
              <w:rPr>
                <w:color w:val="000000"/>
                <w:lang w:eastAsia="hr-HR"/>
              </w:rPr>
              <w:t xml:space="preserve"> godinu</w:t>
            </w:r>
            <w:r>
              <w:rPr>
                <w:rFonts w:hint="default"/>
                <w:color w:val="000000"/>
                <w:lang w:val="en-US" w:eastAsia="hr-HR"/>
              </w:rPr>
              <w:t xml:space="preserve"> </w:t>
            </w:r>
            <w:r>
              <w:rPr>
                <w:color w:val="000000"/>
                <w:lang w:eastAsia="hr-HR"/>
              </w:rPr>
              <w:t xml:space="preserve"> mjenja se i glasi: </w:t>
            </w:r>
          </w:p>
        </w:tc>
        <w:tc>
          <w:tcPr>
            <w:tcW w:w="240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shd w:val="clear" w:color="auto" w:fill="FFFFFF"/>
            <w:noWrap w:val="0"/>
            <w:vAlign w:val="bottom"/>
          </w:tcPr>
          <w:p>
            <w:pPr>
              <w:snapToGrid w:val="0"/>
              <w:spacing w:before="0" w:after="0" w:line="240" w:lineRule="auto"/>
              <w:rPr>
                <w:color w:val="000000"/>
                <w:lang w:eastAsia="hr-HR"/>
              </w:rPr>
            </w:pPr>
          </w:p>
        </w:tc>
      </w:tr>
    </w:tbl>
    <w:p/>
    <w:tbl>
      <w:tblPr>
        <w:tblStyle w:val="3"/>
        <w:tblW w:w="10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00"/>
        <w:gridCol w:w="25"/>
        <w:gridCol w:w="437"/>
        <w:gridCol w:w="113"/>
        <w:gridCol w:w="2462"/>
        <w:gridCol w:w="2123"/>
        <w:gridCol w:w="1584"/>
        <w:gridCol w:w="149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900" w:type="dxa"/>
            <w:gridSpan w:val="10"/>
            <w:vAlign w:val="top"/>
          </w:tcPr>
          <w:p>
            <w:pPr>
              <w:ind w:firstLine="2641" w:firstLineChars="1100"/>
              <w:rPr>
                <w:rFonts w:hint="default"/>
                <w:b/>
                <w:lang w:val="hr-HR"/>
              </w:rPr>
            </w:pPr>
            <w:r>
              <w:rPr>
                <w:b/>
                <w:i w:val="0"/>
                <w:iCs w:val="0"/>
                <w:sz w:val="24"/>
                <w:szCs w:val="24"/>
                <w:lang w:val="hr-HR"/>
              </w:rPr>
              <w:t>PRIHODI</w:t>
            </w:r>
            <w:r>
              <w:rPr>
                <w:b/>
                <w:i w:val="0"/>
                <w:iCs w:val="0"/>
                <w:sz w:val="32"/>
                <w:szCs w:val="32"/>
                <w:lang w:val="hr-HR"/>
              </w:rPr>
              <w:t xml:space="preserve"> </w:t>
            </w:r>
            <w:r>
              <w:rPr>
                <w:rFonts w:hint="default"/>
                <w:b/>
                <w:i w:val="0"/>
                <w:iCs w:val="0"/>
                <w:sz w:val="32"/>
                <w:szCs w:val="32"/>
                <w:lang w:val="hr-HR"/>
              </w:rPr>
              <w:t xml:space="preserve">                                                                            </w:t>
            </w:r>
            <w:r>
              <w:rPr>
                <w:rFonts w:hint="default"/>
                <w:b/>
                <w:i w:val="0"/>
                <w:iCs w:val="0"/>
                <w:sz w:val="24"/>
                <w:szCs w:val="24"/>
                <w:lang w:val="hr-HR"/>
              </w:rPr>
              <w:t xml:space="preserve"> 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45" w:type="dxa"/>
            <w:gridSpan w:val="7"/>
            <w:vAlign w:val="top"/>
          </w:tcPr>
          <w:p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  <w:vAlign w:val="top"/>
          </w:tcPr>
          <w:p>
            <w:pPr>
              <w:ind w:firstLine="400" w:firstLineChars="200"/>
              <w:rPr>
                <w:rFonts w:hint="default"/>
                <w:b/>
                <w:i/>
                <w:color w:val="0070C0"/>
                <w:sz w:val="20"/>
                <w:szCs w:val="20"/>
                <w:lang w:val="hr-HR"/>
              </w:rPr>
            </w:pPr>
            <w:r>
              <w:rPr>
                <w:rFonts w:hint="default"/>
                <w:b/>
                <w:i/>
                <w:color w:val="0070C0"/>
                <w:sz w:val="20"/>
                <w:szCs w:val="20"/>
                <w:lang w:val="hr-HR"/>
              </w:rPr>
              <w:t>PLAN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/>
                <w:b/>
                <w:i/>
                <w:color w:val="FF0000"/>
                <w:sz w:val="20"/>
                <w:szCs w:val="20"/>
                <w:lang w:val="hr-HR"/>
              </w:rPr>
            </w:pPr>
            <w:r>
              <w:rPr>
                <w:rFonts w:hint="default"/>
                <w:b/>
                <w:i/>
                <w:color w:val="FF0000"/>
                <w:sz w:val="20"/>
                <w:szCs w:val="20"/>
                <w:lang w:val="hr-HR"/>
              </w:rPr>
              <w:t>NOVI PLAN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/>
                <w:b/>
                <w:i/>
                <w:color w:val="00B050"/>
                <w:sz w:val="20"/>
                <w:szCs w:val="20"/>
                <w:lang w:val="hr-HR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i/>
                <w:color w:val="00B050"/>
                <w:sz w:val="20"/>
                <w:szCs w:val="20"/>
                <w:lang w:val="hr-HR"/>
              </w:rPr>
              <w:t>POVEĆANJE</w:t>
            </w:r>
          </w:p>
          <w:p>
            <w:pPr>
              <w:rPr>
                <w:rFonts w:hint="default"/>
                <w:b/>
                <w:i/>
                <w:color w:val="00B05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i/>
                <w:color w:val="00B050"/>
                <w:sz w:val="20"/>
                <w:szCs w:val="20"/>
                <w:lang w:val="hr-HR"/>
              </w:rPr>
              <w:t>SMANJENJE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45" w:type="dxa"/>
            <w:gridSpan w:val="7"/>
            <w:vAlign w:val="top"/>
          </w:tcPr>
          <w:p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84" w:type="dxa"/>
            <w:vAlign w:val="top"/>
          </w:tcPr>
          <w:p>
            <w:pPr>
              <w:ind w:firstLine="480" w:firstLineChars="200"/>
              <w:rPr>
                <w:rFonts w:hint="default"/>
                <w:b/>
                <w:i/>
                <w:color w:val="0070C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i/>
                <w:color w:val="0070C0"/>
                <w:sz w:val="24"/>
                <w:szCs w:val="24"/>
                <w:lang w:val="hr-HR"/>
              </w:rPr>
              <w:t>2023.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/>
                <w:b/>
                <w:i/>
                <w:color w:val="FF000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i/>
                <w:color w:val="FF0000"/>
                <w:sz w:val="24"/>
                <w:szCs w:val="24"/>
                <w:lang w:val="hr-HR"/>
              </w:rPr>
              <w:t>2023.</w:t>
            </w:r>
          </w:p>
        </w:tc>
        <w:tc>
          <w:tcPr>
            <w:tcW w:w="1472" w:type="dxa"/>
            <w:vAlign w:val="top"/>
          </w:tcPr>
          <w:p>
            <w:pPr>
              <w:rPr>
                <w:b/>
                <w:i/>
                <w:color w:val="00B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  <w:t>Razred</w:t>
            </w: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  <w:t>Skupina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10"/>
                <w:szCs w:val="10"/>
                <w:lang w:val="hr-HR"/>
              </w:rPr>
              <w:t>Izvor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ind w:firstLine="1761" w:firstLineChars="1100"/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16"/>
                <w:szCs w:val="16"/>
                <w:lang w:val="hr-HR"/>
              </w:rPr>
              <w:t>Naziv prihoda</w:t>
            </w:r>
          </w:p>
        </w:tc>
        <w:tc>
          <w:tcPr>
            <w:tcW w:w="1584" w:type="dxa"/>
            <w:vAlign w:val="top"/>
          </w:tcPr>
          <w:p>
            <w:pPr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b/>
                <w:i/>
                <w:color w:val="00B05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</w:rPr>
            </w:pP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24"/>
                <w:szCs w:val="24"/>
                <w:lang w:val="hr-HR"/>
              </w:rPr>
              <w:t>PRIHODI POSLOVANJA</w:t>
            </w:r>
          </w:p>
        </w:tc>
        <w:tc>
          <w:tcPr>
            <w:tcW w:w="1584" w:type="dxa"/>
            <w:vAlign w:val="top"/>
          </w:tcPr>
          <w:p>
            <w:pPr>
              <w:rPr>
                <w:b/>
                <w:i/>
                <w:iCs w:val="0"/>
                <w:color w:val="0070C0"/>
                <w:sz w:val="16"/>
                <w:szCs w:val="16"/>
              </w:rPr>
            </w:pPr>
            <w:r>
              <w:rPr>
                <w:b/>
                <w:i/>
                <w:iCs w:val="0"/>
                <w:color w:val="0070C0"/>
                <w:sz w:val="16"/>
                <w:szCs w:val="16"/>
              </w:rPr>
              <w:t xml:space="preserve">  </w:t>
            </w:r>
            <w:r>
              <w:rPr>
                <w:rFonts w:hint="default"/>
                <w:b/>
                <w:i/>
                <w:iCs w:val="0"/>
                <w:color w:val="0070C0"/>
                <w:sz w:val="16"/>
                <w:szCs w:val="16"/>
                <w:lang w:val="hr-HR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/>
                <w:iCs w:val="0"/>
                <w:color w:val="0070C0"/>
                <w:sz w:val="20"/>
                <w:szCs w:val="20"/>
                <w:lang w:val="hr-HR"/>
              </w:rPr>
              <w:t xml:space="preserve">     </w:t>
            </w:r>
            <w:r>
              <w:rPr>
                <w:rFonts w:hint="default" w:cs="Times New Roman"/>
                <w:b/>
                <w:i/>
                <w:iCs w:val="0"/>
                <w:color w:val="0070C0"/>
                <w:sz w:val="20"/>
                <w:szCs w:val="20"/>
                <w:lang w:val="hr-HR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 w:val="0"/>
                <w:color w:val="0070C0"/>
                <w:sz w:val="20"/>
                <w:szCs w:val="20"/>
              </w:rPr>
              <w:t>2</w:t>
            </w:r>
            <w:r>
              <w:rPr>
                <w:rFonts w:hint="default" w:eastAsia="SimSun" w:cs="Times New Roman"/>
                <w:b/>
                <w:bCs/>
                <w:i/>
                <w:iCs w:val="0"/>
                <w:color w:val="0070C0"/>
                <w:sz w:val="20"/>
                <w:szCs w:val="20"/>
                <w:lang w:val="hr-HR"/>
              </w:rPr>
              <w:t>68.690</w:t>
            </w:r>
            <w:r>
              <w:rPr>
                <w:rFonts w:hint="default" w:ascii="Times New Roman" w:hAnsi="Times New Roman" w:cs="Times New Roman"/>
                <w:b/>
                <w:i/>
                <w:iCs w:val="0"/>
                <w:color w:val="0070C0"/>
                <w:sz w:val="20"/>
                <w:szCs w:val="20"/>
              </w:rPr>
              <w:t xml:space="preserve">   </w:t>
            </w:r>
            <w:r>
              <w:rPr>
                <w:b/>
                <w:i/>
                <w:iCs w:val="0"/>
                <w:color w:val="0070C0"/>
                <w:sz w:val="16"/>
                <w:szCs w:val="16"/>
              </w:rPr>
              <w:t xml:space="preserve">         </w:t>
            </w:r>
          </w:p>
          <w:p>
            <w:pPr>
              <w:rPr>
                <w:rFonts w:hint="default"/>
                <w:b/>
                <w:i/>
                <w:iCs w:val="0"/>
                <w:color w:val="0070C0"/>
                <w:sz w:val="16"/>
                <w:szCs w:val="16"/>
                <w:lang w:val="hr-HR"/>
              </w:rPr>
            </w:pPr>
            <w:r>
              <w:rPr>
                <w:b/>
                <w:i/>
                <w:iCs w:val="0"/>
                <w:color w:val="0070C0"/>
                <w:sz w:val="16"/>
                <w:szCs w:val="16"/>
              </w:rPr>
              <w:t xml:space="preserve">             </w:t>
            </w:r>
            <w:r>
              <w:rPr>
                <w:rFonts w:hint="default"/>
                <w:b/>
                <w:i/>
                <w:iCs w:val="0"/>
                <w:color w:val="0070C0"/>
                <w:sz w:val="16"/>
                <w:szCs w:val="16"/>
              </w:rPr>
              <w:t xml:space="preserve">              </w:t>
            </w:r>
            <w:r>
              <w:rPr>
                <w:rFonts w:hint="default"/>
                <w:b/>
                <w:i/>
                <w:iCs w:val="0"/>
                <w:color w:val="0070C0"/>
                <w:sz w:val="16"/>
                <w:szCs w:val="16"/>
                <w:lang w:val="hr-HR"/>
              </w:rPr>
              <w:t xml:space="preserve">          </w:t>
            </w:r>
          </w:p>
        </w:tc>
        <w:tc>
          <w:tcPr>
            <w:tcW w:w="1499" w:type="dxa"/>
            <w:vAlign w:val="top"/>
          </w:tcPr>
          <w:p>
            <w:pPr>
              <w:rPr>
                <w:b/>
                <w:i/>
                <w:iCs w:val="0"/>
                <w:color w:val="FF0000"/>
                <w:sz w:val="16"/>
                <w:szCs w:val="16"/>
              </w:rPr>
            </w:pPr>
            <w:r>
              <w:rPr>
                <w:b/>
                <w:i/>
                <w:iCs w:val="0"/>
                <w:color w:val="FF0000"/>
                <w:sz w:val="16"/>
                <w:szCs w:val="16"/>
              </w:rPr>
              <w:t xml:space="preserve">  </w:t>
            </w:r>
            <w:r>
              <w:rPr>
                <w:rFonts w:hint="default"/>
                <w:b/>
                <w:i/>
                <w:iCs w:val="0"/>
                <w:color w:val="FF0000"/>
                <w:sz w:val="16"/>
                <w:szCs w:val="16"/>
                <w:lang w:val="hr-HR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/>
                <w:iCs w:val="0"/>
                <w:color w:val="FF0000"/>
                <w:sz w:val="20"/>
                <w:szCs w:val="20"/>
                <w:lang w:val="hr-HR"/>
              </w:rPr>
              <w:t xml:space="preserve">     </w:t>
            </w:r>
            <w:r>
              <w:rPr>
                <w:rFonts w:hint="default" w:cs="Times New Roman"/>
                <w:b/>
                <w:i/>
                <w:iCs w:val="0"/>
                <w:color w:val="FF0000"/>
                <w:sz w:val="20"/>
                <w:szCs w:val="20"/>
                <w:lang w:val="hr-HR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b/>
                <w:bCs/>
                <w:i/>
                <w:iCs w:val="0"/>
                <w:color w:val="FF0000"/>
                <w:sz w:val="20"/>
                <w:szCs w:val="20"/>
              </w:rPr>
              <w:t>2</w:t>
            </w:r>
            <w:r>
              <w:rPr>
                <w:rFonts w:hint="default" w:eastAsia="SimSun" w:cs="Times New Roman"/>
                <w:b/>
                <w:bCs/>
                <w:i/>
                <w:iCs w:val="0"/>
                <w:color w:val="FF0000"/>
                <w:sz w:val="20"/>
                <w:szCs w:val="20"/>
                <w:lang w:val="hr-HR"/>
              </w:rPr>
              <w:t>69.690</w:t>
            </w:r>
            <w:r>
              <w:rPr>
                <w:rFonts w:hint="default" w:ascii="Times New Roman" w:hAnsi="Times New Roman" w:cs="Times New Roman"/>
                <w:b/>
                <w:i/>
                <w:iCs w:val="0"/>
                <w:color w:val="FF0000"/>
                <w:sz w:val="20"/>
                <w:szCs w:val="20"/>
              </w:rPr>
              <w:t xml:space="preserve">   </w:t>
            </w:r>
            <w:r>
              <w:rPr>
                <w:b/>
                <w:i/>
                <w:iCs w:val="0"/>
                <w:color w:val="FF0000"/>
                <w:sz w:val="16"/>
                <w:szCs w:val="16"/>
              </w:rPr>
              <w:t xml:space="preserve">         </w:t>
            </w:r>
          </w:p>
          <w:p>
            <w:pPr>
              <w:rPr>
                <w:rFonts w:hint="default" w:ascii="Times New Roman" w:hAnsi="Times New Roman" w:eastAsia="Times New Roman" w:cs="Times New Roman"/>
                <w:b/>
                <w:i/>
                <w:iCs w:val="0"/>
                <w:color w:val="FF0000"/>
                <w:sz w:val="16"/>
                <w:szCs w:val="16"/>
                <w:lang w:val="hr-HR" w:eastAsia="zh-CN" w:bidi="ar-SA"/>
              </w:rPr>
            </w:pPr>
            <w:r>
              <w:rPr>
                <w:b/>
                <w:i/>
                <w:iCs w:val="0"/>
                <w:color w:val="FF0000"/>
                <w:sz w:val="16"/>
                <w:szCs w:val="16"/>
              </w:rPr>
              <w:t xml:space="preserve">             </w:t>
            </w:r>
            <w:r>
              <w:rPr>
                <w:rFonts w:hint="default"/>
                <w:b/>
                <w:i/>
                <w:iCs w:val="0"/>
                <w:color w:val="FF0000"/>
                <w:sz w:val="16"/>
                <w:szCs w:val="16"/>
              </w:rPr>
              <w:t xml:space="preserve">              </w:t>
            </w:r>
            <w:r>
              <w:rPr>
                <w:rFonts w:hint="default"/>
                <w:b/>
                <w:i/>
                <w:iCs w:val="0"/>
                <w:color w:val="FF0000"/>
                <w:sz w:val="16"/>
                <w:szCs w:val="16"/>
                <w:lang w:val="hr-HR"/>
              </w:rPr>
              <w:t xml:space="preserve">          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/>
                <w:b/>
                <w:i/>
                <w:iCs w:val="0"/>
                <w:color w:val="00B05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color w:val="00B050"/>
                <w:sz w:val="16"/>
                <w:szCs w:val="16"/>
                <w:lang w:val="hr-HR"/>
              </w:rPr>
              <w:t>+ 1.000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63</w:t>
            </w:r>
          </w:p>
        </w:tc>
        <w:tc>
          <w:tcPr>
            <w:tcW w:w="437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</w:rPr>
            </w:pP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Pomoći iz inozemstva i od subjekata unutar općeg proračuna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/>
                <w:b/>
                <w:i/>
                <w:color w:val="0070C0"/>
                <w:sz w:val="16"/>
                <w:szCs w:val="16"/>
                <w:lang w:val="hr-HR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FF0000"/>
                <w:sz w:val="16"/>
                <w:szCs w:val="16"/>
                <w:lang w:val="hr-HR" w:eastAsia="zh-CN" w:bidi="ar-SA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b/>
                <w:i/>
                <w:color w:val="00B05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Tekuće pomoći proračunu iz drugih proračuna i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izvanproračunskim korisicima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- Ministarstvo rada, 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mirovinskog sustava, obitelji i socijalne politike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(Poboljšanje uvjeta u predškolskim ustanovama) </w:t>
            </w:r>
          </w:p>
        </w:tc>
        <w:tc>
          <w:tcPr>
            <w:tcW w:w="1584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cs="Times New Roman"/>
                <w:b/>
                <w:bCs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  <w:t xml:space="preserve"> </w:t>
            </w:r>
            <w:r>
              <w:rPr>
                <w:rFonts w:hint="default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en-US" w:eastAsia="zh-CN" w:bidi="ar"/>
              </w:rPr>
              <w:t>39.8</w:t>
            </w:r>
            <w:r>
              <w:rPr>
                <w:rFonts w:hint="default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  <w:t>20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i/>
                <w:color w:val="FF000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en-US" w:eastAsia="zh-CN" w:bidi="ar"/>
              </w:rPr>
              <w:t>39.8</w:t>
            </w:r>
            <w:r>
              <w:rPr>
                <w:rFonts w:hint="default" w:eastAsia="SimSun" w:cs="Times New Roman"/>
                <w:b/>
                <w:bCs/>
                <w:color w:val="FF0000"/>
                <w:kern w:val="0"/>
                <w:sz w:val="16"/>
                <w:szCs w:val="16"/>
                <w:lang w:val="hr-HR" w:eastAsia="zh-CN" w:bidi="ar"/>
              </w:rPr>
              <w:t>20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cs="Times New Roman"/>
                <w:b/>
                <w:bCs/>
                <w:i/>
                <w:color w:val="00B050"/>
                <w:sz w:val="16"/>
                <w:szCs w:val="16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61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Tekuće pomoći proračunskim korisnicima iz proračuna koji im nije nadležan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Programi za nacionalne manjine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 predškole</w:t>
            </w:r>
          </w:p>
        </w:tc>
        <w:tc>
          <w:tcPr>
            <w:tcW w:w="1584" w:type="dxa"/>
            <w:vAlign w:val="top"/>
          </w:tcPr>
          <w:p>
            <w:pPr>
              <w:ind w:firstLine="964" w:firstLineChars="60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sz w:val="16"/>
                <w:szCs w:val="16"/>
              </w:rPr>
              <w:t>9.8</w:t>
            </w: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40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sz w:val="16"/>
                <w:szCs w:val="16"/>
              </w:rPr>
              <w:t>9.8</w:t>
            </w:r>
            <w: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/>
              </w:rPr>
              <w:t>40</w:t>
            </w:r>
          </w:p>
        </w:tc>
        <w:tc>
          <w:tcPr>
            <w:tcW w:w="1472" w:type="dxa"/>
            <w:vAlign w:val="top"/>
          </w:tcPr>
          <w:p>
            <w:pPr>
              <w:ind w:firstLine="562" w:firstLineChars="350"/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 xml:space="preserve">Prihodi od upravnih i administrativnih pristojbi, pristojbi po posebnim propisima i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naknada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26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Prihodi po posebnim propisima-ostali nespomenuti prihodi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Sufinanciarnje cijene usluga od strane roditelja</w:t>
            </w:r>
          </w:p>
        </w:tc>
        <w:tc>
          <w:tcPr>
            <w:tcW w:w="1584" w:type="dxa"/>
            <w:vAlign w:val="top"/>
          </w:tcPr>
          <w:p>
            <w:pPr>
              <w:ind w:firstLine="883" w:firstLineChars="55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</w:rPr>
              <w:t>51.7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  <w:t>70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</w:rPr>
              <w:t>51.7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hr-HR"/>
              </w:rPr>
              <w:t>70</w:t>
            </w:r>
          </w:p>
        </w:tc>
        <w:tc>
          <w:tcPr>
            <w:tcW w:w="1472" w:type="dxa"/>
            <w:vAlign w:val="top"/>
          </w:tcPr>
          <w:p>
            <w:pPr>
              <w:ind w:firstLine="723" w:firstLineChars="450"/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66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Prihodi od prodaje proizvoda i robe te pruženih usluga, i prihodi od donacija te povrati po protestiranim jamstvima</w:t>
            </w:r>
          </w:p>
        </w:tc>
        <w:tc>
          <w:tcPr>
            <w:tcW w:w="1584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</w:rPr>
            </w:pPr>
          </w:p>
        </w:tc>
        <w:tc>
          <w:tcPr>
            <w:tcW w:w="1499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72" w:type="dxa"/>
            <w:vAlign w:val="top"/>
          </w:tcPr>
          <w:p>
            <w:pPr>
              <w:ind w:firstLine="562" w:firstLineChars="35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B05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-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 Donacije kroz projekte - SNV i ZVO</w:t>
            </w:r>
          </w:p>
        </w:tc>
        <w:tc>
          <w:tcPr>
            <w:tcW w:w="1584" w:type="dxa"/>
            <w:vAlign w:val="top"/>
          </w:tcPr>
          <w:p>
            <w:pPr>
              <w:ind w:firstLine="964" w:firstLineChars="6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</w:rPr>
              <w:t>2.6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</w:rPr>
              <w:t>2.6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FF0000"/>
                <w:sz w:val="16"/>
                <w:szCs w:val="16"/>
                <w:lang w:val="hr-HR"/>
              </w:rPr>
              <w:t>60</w:t>
            </w:r>
          </w:p>
        </w:tc>
        <w:tc>
          <w:tcPr>
            <w:tcW w:w="1472" w:type="dxa"/>
            <w:vAlign w:val="top"/>
          </w:tcPr>
          <w:p>
            <w:pPr>
              <w:ind w:firstLine="803" w:firstLineChars="5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B050"/>
                <w:sz w:val="16"/>
                <w:szCs w:val="16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 w:val="0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Prihodi od nadležnog proračuna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25" w:type="dxa"/>
            <w:gridSpan w:val="2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11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Prihodi i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z nadležnog proračuna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 xml:space="preserve"> za financiranje rashoda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 xml:space="preserve"> posovanje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Osnivač Općina Borovo ( dio za plaće te grijanje)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Opremnina</w:t>
            </w:r>
          </w:p>
        </w:tc>
        <w:tc>
          <w:tcPr>
            <w:tcW w:w="1584" w:type="dxa"/>
            <w:vAlign w:val="top"/>
          </w:tcPr>
          <w:p>
            <w:pPr>
              <w:ind w:firstLine="500" w:firstLineChars="250"/>
              <w:rPr>
                <w:rFonts w:hint="default" w:ascii="Arial" w:hAnsi="Arial" w:eastAsia="SimSun" w:cs="Arial"/>
                <w:color w:val="0070C0"/>
                <w:sz w:val="20"/>
                <w:szCs w:val="20"/>
                <w:lang w:val="hr-HR"/>
              </w:rPr>
            </w:pPr>
            <w:r>
              <w:rPr>
                <w:rFonts w:ascii="Arial" w:hAnsi="Arial" w:eastAsia="SimSun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SimSun" w:cs="Arial"/>
                <w:color w:val="0070C0"/>
                <w:sz w:val="20"/>
                <w:szCs w:val="20"/>
                <w:lang w:val="hr-HR"/>
              </w:rPr>
              <w:t xml:space="preserve">   </w:t>
            </w:r>
          </w:p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Arial" w:hAnsi="Arial" w:eastAsia="SimSun" w:cs="Arial"/>
                <w:color w:val="0070C0"/>
                <w:sz w:val="20"/>
                <w:szCs w:val="20"/>
                <w:lang w:val="hr-H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64.600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sz w:val="16"/>
                <w:szCs w:val="16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FF0000"/>
                <w:sz w:val="16"/>
                <w:szCs w:val="16"/>
              </w:rPr>
            </w:pPr>
          </w:p>
          <w:p>
            <w:pP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/>
              </w:rPr>
              <w:t>64.600</w:t>
            </w:r>
          </w:p>
          <w:p>
            <w:pP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 w:eastAsia="zh-CN"/>
              </w:rPr>
            </w:pPr>
            <w:r>
              <w:rPr>
                <w:rFonts w:hint="default" w:eastAsia="SimSun" w:cs="Times New Roman"/>
                <w:b/>
                <w:bCs/>
                <w:color w:val="FF0000"/>
                <w:sz w:val="16"/>
                <w:szCs w:val="16"/>
                <w:lang w:val="hr-HR"/>
              </w:rPr>
              <w:t xml:space="preserve">     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B050"/>
                <w:sz w:val="16"/>
                <w:szCs w:val="16"/>
                <w:lang w:val="hr-HR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i/>
                <w:color w:val="00B050"/>
                <w:sz w:val="16"/>
                <w:szCs w:val="16"/>
                <w:lang w:val="hr-HR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i/>
                <w:color w:val="00B050"/>
                <w:sz w:val="16"/>
                <w:szCs w:val="16"/>
                <w:lang w:val="hr-HR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i/>
                <w:color w:val="00B05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B050"/>
                <w:sz w:val="16"/>
                <w:szCs w:val="16"/>
                <w:lang w:val="hr-HR"/>
              </w:rPr>
              <w:t>+ 1.000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10" w:type="dxa"/>
            <w:gridSpan w:val="3"/>
            <w:vAlign w:val="top"/>
          </w:tcPr>
          <w:p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135" w:type="dxa"/>
            <w:gridSpan w:val="4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1499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i/>
                <w:color w:val="C00000"/>
                <w:sz w:val="16"/>
                <w:szCs w:val="16"/>
                <w:lang w:val="hr-HR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535353" w:themeColor="accent3" w:themeShade="8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900" w:type="dxa"/>
            <w:gridSpan w:val="10"/>
            <w:vAlign w:val="top"/>
          </w:tcPr>
          <w:p>
            <w:pPr>
              <w:ind w:firstLine="2521" w:firstLineChars="1050"/>
              <w:rPr>
                <w:rFonts w:hint="default"/>
                <w:b/>
                <w:lang w:val="hr-HR"/>
              </w:rPr>
            </w:pPr>
            <w:r>
              <w:rPr>
                <w:rFonts w:hint="default"/>
                <w:b/>
                <w:lang w:val="hr-HR"/>
              </w:rPr>
              <w:t>RASHODI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45" w:type="dxa"/>
            <w:gridSpan w:val="7"/>
            <w:vAlign w:val="top"/>
          </w:tcPr>
          <w:p>
            <w:pPr>
              <w:rPr>
                <w:rFonts w:hint="default"/>
                <w:b/>
                <w:i/>
                <w:sz w:val="28"/>
                <w:szCs w:val="28"/>
                <w:lang w:val="hr-HR"/>
              </w:rPr>
            </w:pPr>
            <w:r>
              <w:rPr>
                <w:rFonts w:hint="default"/>
                <w:b/>
                <w:i/>
                <w:sz w:val="28"/>
                <w:szCs w:val="28"/>
                <w:lang w:val="hr-HR"/>
              </w:rPr>
              <w:t xml:space="preserve">                  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/>
                <w:b/>
                <w:i/>
                <w:color w:val="0070C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i/>
                <w:color w:val="0070C0"/>
                <w:sz w:val="20"/>
                <w:szCs w:val="20"/>
                <w:lang w:val="hr-HR"/>
              </w:rPr>
              <w:t xml:space="preserve">PLAN </w:t>
            </w:r>
            <w:r>
              <w:rPr>
                <w:b/>
                <w:i/>
                <w:color w:val="0070C0"/>
                <w:sz w:val="24"/>
                <w:szCs w:val="24"/>
              </w:rPr>
              <w:t>20</w:t>
            </w:r>
            <w:r>
              <w:rPr>
                <w:rFonts w:hint="default"/>
                <w:b/>
                <w:i/>
                <w:color w:val="0070C0"/>
                <w:sz w:val="24"/>
                <w:szCs w:val="24"/>
                <w:lang w:val="hr-HR"/>
              </w:rPr>
              <w:t>23.</w:t>
            </w:r>
          </w:p>
        </w:tc>
        <w:tc>
          <w:tcPr>
            <w:tcW w:w="1499" w:type="dxa"/>
            <w:vAlign w:val="top"/>
          </w:tcPr>
          <w:p>
            <w:pPr>
              <w:ind w:left="360" w:hanging="360" w:hangingChars="150"/>
              <w:rPr>
                <w:rFonts w:hint="default"/>
                <w:b/>
                <w:i/>
                <w:color w:val="FF0000"/>
                <w:sz w:val="24"/>
                <w:szCs w:val="24"/>
                <w:lang w:val="hr-HR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default"/>
                <w:b/>
                <w:i/>
                <w:color w:val="FF0000"/>
                <w:sz w:val="20"/>
                <w:szCs w:val="20"/>
                <w:lang w:val="hr-HR"/>
              </w:rPr>
              <w:t xml:space="preserve">NOVI PLAN 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     20</w:t>
            </w:r>
            <w:r>
              <w:rPr>
                <w:b/>
                <w:i/>
                <w:color w:val="FF0000"/>
                <w:sz w:val="24"/>
                <w:szCs w:val="24"/>
                <w:lang w:val="hr-HR"/>
              </w:rPr>
              <w:t>2</w:t>
            </w:r>
            <w:r>
              <w:rPr>
                <w:rFonts w:hint="default"/>
                <w:b/>
                <w:i/>
                <w:color w:val="FF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/>
                <w:b/>
                <w:i/>
                <w:color w:val="00B050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i/>
                <w:color w:val="00B050"/>
                <w:sz w:val="20"/>
                <w:szCs w:val="20"/>
                <w:lang w:val="hr-HR"/>
              </w:rPr>
              <w:t>POVEĆANJE SMANJENJE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  <w:t>Razred</w:t>
            </w: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  <w:t>Skupina</w:t>
            </w: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sz w:val="10"/>
                <w:szCs w:val="10"/>
                <w:lang w:val="hr-HR"/>
              </w:rPr>
            </w:pPr>
            <w:r>
              <w:rPr>
                <w:rFonts w:hint="default"/>
                <w:b/>
                <w:i/>
                <w:sz w:val="10"/>
                <w:szCs w:val="10"/>
                <w:lang w:val="hr-HR"/>
              </w:rPr>
              <w:t>Izvor</w:t>
            </w:r>
          </w:p>
          <w:p>
            <w:pPr>
              <w:rPr>
                <w:rFonts w:hint="default"/>
                <w:b/>
                <w:i/>
                <w:sz w:val="10"/>
                <w:szCs w:val="10"/>
                <w:lang w:val="hr-HR"/>
              </w:rPr>
            </w:pPr>
            <w:r>
              <w:rPr>
                <w:rFonts w:hint="default"/>
                <w:b/>
                <w:i/>
                <w:sz w:val="10"/>
                <w:szCs w:val="10"/>
                <w:lang w:val="hr-HR"/>
              </w:rPr>
              <w:t>prihoda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16"/>
                <w:szCs w:val="16"/>
                <w:lang w:val="hr-HR"/>
              </w:rPr>
              <w:t>Naziv  rashoda</w:t>
            </w:r>
          </w:p>
        </w:tc>
        <w:tc>
          <w:tcPr>
            <w:tcW w:w="1584" w:type="dxa"/>
            <w:vAlign w:val="top"/>
          </w:tcPr>
          <w:p>
            <w:pPr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472" w:type="dxa"/>
            <w:vAlign w:val="top"/>
          </w:tcPr>
          <w:p>
            <w:pPr>
              <w:rPr>
                <w:b/>
                <w:i/>
                <w:color w:val="00B05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 w:val="0"/>
                <w:iCs/>
                <w:sz w:val="10"/>
                <w:szCs w:val="10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sz w:val="10"/>
                <w:szCs w:val="10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20"/>
                <w:szCs w:val="20"/>
                <w:lang w:val="hr-HR"/>
              </w:rPr>
              <w:t>UKUPNO RASHODI</w:t>
            </w:r>
          </w:p>
        </w:tc>
        <w:tc>
          <w:tcPr>
            <w:tcW w:w="1584" w:type="dxa"/>
            <w:vAlign w:val="top"/>
          </w:tcPr>
          <w:p>
            <w:pPr>
              <w:ind w:firstLine="703" w:firstLineChars="350"/>
              <w:rPr>
                <w:rFonts w:hint="default"/>
                <w:b/>
                <w:i/>
                <w:iCs/>
                <w:color w:val="0070C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val="hr-HR" w:eastAsia="zh-CN" w:bidi="ar"/>
              </w:rPr>
              <w:t>68.690</w:t>
            </w:r>
          </w:p>
        </w:tc>
        <w:tc>
          <w:tcPr>
            <w:tcW w:w="1499" w:type="dxa"/>
            <w:vAlign w:val="top"/>
          </w:tcPr>
          <w:p>
            <w:pPr>
              <w:ind w:firstLine="602" w:firstLineChars="300"/>
              <w:rPr>
                <w:rFonts w:hint="default"/>
                <w:b/>
                <w:i/>
                <w:color w:val="FF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val="hr-HR" w:eastAsia="zh-CN" w:bidi="ar"/>
              </w:rPr>
              <w:t>69.690</w:t>
            </w:r>
          </w:p>
        </w:tc>
        <w:tc>
          <w:tcPr>
            <w:tcW w:w="1472" w:type="dxa"/>
            <w:vAlign w:val="top"/>
          </w:tcPr>
          <w:p>
            <w:pPr>
              <w:ind w:firstLine="480" w:firstLineChars="300"/>
              <w:rPr>
                <w:rFonts w:hint="default"/>
                <w:b/>
                <w:i/>
                <w:color w:val="00B05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color w:val="00B050"/>
                <w:sz w:val="16"/>
                <w:szCs w:val="16"/>
                <w:lang w:val="hr-HR"/>
              </w:rPr>
              <w:t xml:space="preserve">     + 1.000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sz w:val="20"/>
                <w:szCs w:val="20"/>
                <w:lang w:val="hr-HR"/>
              </w:rPr>
              <w:t>RASHODI POSLOVANJA</w:t>
            </w:r>
          </w:p>
        </w:tc>
        <w:tc>
          <w:tcPr>
            <w:tcW w:w="1584" w:type="dxa"/>
            <w:vAlign w:val="top"/>
          </w:tcPr>
          <w:p>
            <w:pPr>
              <w:ind w:firstLine="201" w:firstLineChars="100"/>
              <w:rPr>
                <w:rFonts w:hint="default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0"/>
                <w:szCs w:val="20"/>
                <w:lang w:val="hr-HR" w:eastAsia="zh-CN" w:bidi="ar"/>
              </w:rPr>
              <w:t>66.030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/>
                <w:b/>
                <w:i/>
                <w:color w:val="auto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0"/>
                <w:szCs w:val="20"/>
                <w:lang w:val="hr-HR" w:eastAsia="zh-CN" w:bidi="ar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20"/>
                <w:szCs w:val="20"/>
                <w:lang w:val="hr-HR" w:eastAsia="zh-CN" w:bidi="ar"/>
              </w:rPr>
              <w:t>66.030</w:t>
            </w:r>
          </w:p>
        </w:tc>
        <w:tc>
          <w:tcPr>
            <w:tcW w:w="1472" w:type="dxa"/>
            <w:vAlign w:val="top"/>
          </w:tcPr>
          <w:p>
            <w:pPr>
              <w:ind w:firstLine="200" w:firstLineChars="100"/>
              <w:rPr>
                <w:rFonts w:hint="default"/>
                <w:b/>
                <w:i/>
                <w:color w:val="auto"/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</w:t>
            </w: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/>
                <w:b/>
                <w:i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en-US" w:eastAsia="zh-CN" w:bidi="ar"/>
              </w:rPr>
              <w:t>R</w:t>
            </w:r>
            <w:r>
              <w:rPr>
                <w:rFonts w:hint="default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  <w:t>ASHODI ZA ZAPOSLENE</w:t>
            </w:r>
          </w:p>
        </w:tc>
        <w:tc>
          <w:tcPr>
            <w:tcW w:w="1584" w:type="dxa"/>
            <w:vAlign w:val="top"/>
          </w:tcPr>
          <w:p>
            <w:pPr>
              <w:ind w:firstLine="482" w:firstLineChars="300"/>
              <w:rPr>
                <w:rFonts w:hint="default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84D1"/>
                <w:kern w:val="0"/>
                <w:sz w:val="16"/>
                <w:szCs w:val="16"/>
                <w:lang w:val="en-US" w:eastAsia="zh-CN" w:bidi="ar"/>
              </w:rPr>
              <w:t>19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84D1"/>
                <w:kern w:val="0"/>
                <w:sz w:val="16"/>
                <w:szCs w:val="16"/>
                <w:lang w:val="hr-HR" w:eastAsia="zh-CN" w:bidi="ar"/>
              </w:rPr>
              <w:t>9.090</w:t>
            </w:r>
          </w:p>
        </w:tc>
        <w:tc>
          <w:tcPr>
            <w:tcW w:w="1499" w:type="dxa"/>
            <w:vAlign w:val="top"/>
          </w:tcPr>
          <w:p>
            <w:pPr>
              <w:ind w:firstLine="560" w:firstLineChars="3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FF0000"/>
                <w:sz w:val="16"/>
                <w:szCs w:val="16"/>
                <w:lang w:val="hr-HR" w:eastAsia="zh-CN" w:bidi="ar-SA"/>
              </w:rPr>
              <w:t>200.090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/>
                <w:b/>
                <w:i/>
                <w:color w:val="00B050"/>
                <w:sz w:val="16"/>
                <w:szCs w:val="16"/>
                <w:lang w:val="hr-HR"/>
              </w:rPr>
            </w:pPr>
            <w:r>
              <w:rPr>
                <w:rFonts w:hint="default"/>
                <w:b w:val="0"/>
                <w:bCs/>
                <w:i/>
                <w:color w:val="00B050"/>
                <w:sz w:val="16"/>
                <w:szCs w:val="16"/>
                <w:lang w:val="hr-HR"/>
              </w:rPr>
              <w:t>+ 1.000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312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6711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5"/>
                <w:szCs w:val="15"/>
                <w:lang w:val="hr-HR"/>
              </w:rPr>
              <w:t>- Osnivač Općina Borovo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 xml:space="preserve">- 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Plaće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ostali rashodi za zaposlene- Otpremnina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>54.630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 xml:space="preserve">    </w:t>
            </w:r>
          </w:p>
        </w:tc>
        <w:tc>
          <w:tcPr>
            <w:tcW w:w="1499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  <w:p>
            <w:pPr>
              <w:ind w:firstLine="720" w:firstLineChars="450"/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>55.630</w:t>
            </w:r>
          </w:p>
          <w:p>
            <w:pPr>
              <w:ind w:firstLine="720" w:firstLineChars="450"/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</w:p>
          <w:p>
            <w:pPr>
              <w:ind w:firstLine="720" w:firstLineChars="450"/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 xml:space="preserve">     1.000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 w:val="0"/>
                <w:i/>
                <w:color w:val="00B050"/>
                <w:sz w:val="16"/>
                <w:szCs w:val="16"/>
                <w:lang w:val="hr-HR" w:eastAsia="zh-CN" w:bidi="ar-SA"/>
              </w:rPr>
              <w:t>+ 1.000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6331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 MR...Poboljšanje uvjeta u predškolskim ustanovama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39.8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kern w:val="0"/>
                <w:sz w:val="16"/>
                <w:szCs w:val="16"/>
                <w:lang w:val="hr-HR" w:eastAsia="zh-CN" w:bidi="ar"/>
              </w:rPr>
              <w:t>20</w:t>
            </w:r>
          </w:p>
        </w:tc>
        <w:tc>
          <w:tcPr>
            <w:tcW w:w="1499" w:type="dxa"/>
            <w:vAlign w:val="top"/>
          </w:tcPr>
          <w:p>
            <w:pPr>
              <w:ind w:firstLine="560" w:firstLineChars="350"/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  <w:t xml:space="preserve">      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hr-HR" w:eastAsia="zh-CN" w:bidi="ar"/>
              </w:rPr>
              <w:t xml:space="preserve"> 39.820</w:t>
            </w:r>
          </w:p>
        </w:tc>
        <w:tc>
          <w:tcPr>
            <w:tcW w:w="1472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hr-HR" w:eastAsia="zh-CN" w:bidi="ar"/>
              </w:rPr>
              <w:t xml:space="preserve"> 4.640</w:t>
            </w:r>
          </w:p>
        </w:tc>
        <w:tc>
          <w:tcPr>
            <w:tcW w:w="1499" w:type="dxa"/>
            <w:vAlign w:val="top"/>
          </w:tcPr>
          <w:p>
            <w:pPr>
              <w:ind w:left="643" w:hanging="640" w:hangingChars="400"/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  <w:t xml:space="preserve">                      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hr-HR" w:eastAsia="zh-CN" w:bidi="ar"/>
              </w:rPr>
              <w:t xml:space="preserve"> 4.640</w:t>
            </w:r>
          </w:p>
        </w:tc>
        <w:tc>
          <w:tcPr>
            <w:tcW w:w="1472" w:type="dxa"/>
            <w:vAlign w:val="top"/>
          </w:tcPr>
          <w:p>
            <w:pPr>
              <w:ind w:left="640" w:leftChars="0" w:hanging="640" w:hangingChars="400"/>
              <w:rPr>
                <w:rFonts w:hint="default" w:ascii="Times New Roman" w:hAnsi="Times New Roman" w:eastAsia="SimSun" w:cs="Times New Roman"/>
                <w:b w:val="0"/>
                <w:bCs w:val="0"/>
                <w:color w:val="0070C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32</w:t>
            </w: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MATERJALNI RASHODI</w:t>
            </w:r>
          </w:p>
        </w:tc>
        <w:tc>
          <w:tcPr>
            <w:tcW w:w="1584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/>
                <w:bCs/>
                <w:i/>
                <w:iCs/>
                <w:color w:val="0070C0"/>
                <w:kern w:val="0"/>
                <w:sz w:val="16"/>
                <w:szCs w:val="16"/>
                <w:lang w:val="hr-HR" w:eastAsia="zh-CN" w:bidi="ar"/>
              </w:rPr>
              <w:t>66.940</w:t>
            </w:r>
          </w:p>
        </w:tc>
        <w:tc>
          <w:tcPr>
            <w:tcW w:w="1499" w:type="dxa"/>
            <w:vAlign w:val="top"/>
          </w:tcPr>
          <w:p>
            <w:pPr>
              <w:ind w:firstLine="703" w:firstLineChars="350"/>
              <w:rPr>
                <w:rFonts w:hint="default" w:ascii="Times New Roman" w:hAnsi="Times New Roman" w:eastAsia="SimSun" w:cs="Times New Roman"/>
                <w:b/>
                <w:bCs/>
                <w:color w:val="FF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84D1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84D1"/>
                <w:kern w:val="0"/>
                <w:sz w:val="20"/>
                <w:szCs w:val="20"/>
                <w:lang w:val="hr-HR" w:eastAsia="zh-CN" w:bidi="ar"/>
              </w:rPr>
              <w:t xml:space="preserve"> 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hr-HR" w:eastAsia="zh-CN" w:bidi="ar"/>
              </w:rPr>
              <w:t>66.940</w:t>
            </w:r>
          </w:p>
        </w:tc>
        <w:tc>
          <w:tcPr>
            <w:tcW w:w="1472" w:type="dxa"/>
            <w:vAlign w:val="top"/>
          </w:tcPr>
          <w:p>
            <w:pPr>
              <w:ind w:firstLine="803" w:firstLineChars="500"/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13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iCs w:val="0"/>
                <w:sz w:val="16"/>
                <w:szCs w:val="16"/>
                <w:lang w:val="hr-HR" w:eastAsia="zh-CN" w:bidi="ar-SA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Stručno usvaršavanje</w:t>
            </w:r>
          </w:p>
        </w:tc>
        <w:tc>
          <w:tcPr>
            <w:tcW w:w="1584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  <w:t xml:space="preserve">    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sz w:val="16"/>
                <w:szCs w:val="16"/>
                <w:lang w:val="hr-HR"/>
              </w:rPr>
              <w:t xml:space="preserve">   1.000</w:t>
            </w:r>
          </w:p>
        </w:tc>
        <w:tc>
          <w:tcPr>
            <w:tcW w:w="1499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/>
              </w:rPr>
              <w:t xml:space="preserve">    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sz w:val="16"/>
                <w:szCs w:val="16"/>
                <w:lang w:val="hr-HR"/>
              </w:rPr>
              <w:t xml:space="preserve">   1.000</w:t>
            </w:r>
          </w:p>
        </w:tc>
        <w:tc>
          <w:tcPr>
            <w:tcW w:w="1472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6361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</w:rPr>
              <w:t>Tekuće pomoći proračunskim korisnicima iz proračuna koji im nije nadležan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Programi za nacionalne manjine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 predškole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70C0"/>
                <w:sz w:val="16"/>
                <w:szCs w:val="16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70C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70C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21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 xml:space="preserve">    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Uredski materijal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 xml:space="preserve">- 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kancelarisjki materijal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likovni materijal za djecu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pedagoška dokumentarcija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didaktičke igračke,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stručna literatura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sredstva za čišćenje i održavanje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ostali materijali</w:t>
            </w:r>
          </w:p>
        </w:tc>
        <w:tc>
          <w:tcPr>
            <w:tcW w:w="1584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16"/>
                <w:szCs w:val="16"/>
                <w:lang w:val="hr-HR" w:eastAsia="zh-CN" w:bidi="ar"/>
              </w:rPr>
              <w:t>11.000</w:t>
            </w:r>
          </w:p>
        </w:tc>
        <w:tc>
          <w:tcPr>
            <w:tcW w:w="1499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16"/>
                <w:szCs w:val="16"/>
                <w:lang w:val="hr-HR" w:eastAsia="zh-CN" w:bidi="ar"/>
              </w:rPr>
              <w:t>11.000</w:t>
            </w:r>
          </w:p>
        </w:tc>
        <w:tc>
          <w:tcPr>
            <w:tcW w:w="1472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color w:val="0070C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6361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Tekuće pomoći proračunskim korisnicima iz proračuna koji im nije nadležan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Programi za nacionalne manjine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Program predškole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8.840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8.840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2.160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2.160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22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Materijali i sirovine</w:t>
            </w:r>
          </w:p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-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 namernice</w:t>
            </w:r>
          </w:p>
        </w:tc>
        <w:tc>
          <w:tcPr>
            <w:tcW w:w="1584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14.000</w:t>
            </w:r>
          </w:p>
        </w:tc>
        <w:tc>
          <w:tcPr>
            <w:tcW w:w="1499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14.000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14.000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14.000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23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električna energija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plin za kuhinju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lož ulje</w:t>
            </w:r>
          </w:p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pelet</w:t>
            </w:r>
          </w:p>
        </w:tc>
        <w:tc>
          <w:tcPr>
            <w:tcW w:w="1584" w:type="dxa"/>
            <w:vAlign w:val="top"/>
          </w:tcPr>
          <w:p>
            <w:pPr>
              <w:ind w:firstLine="723" w:firstLineChars="4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16"/>
                <w:szCs w:val="16"/>
                <w:lang w:val="hr-HR" w:eastAsia="zh-CN" w:bidi="ar"/>
              </w:rPr>
              <w:t>14.000</w:t>
            </w:r>
          </w:p>
        </w:tc>
        <w:tc>
          <w:tcPr>
            <w:tcW w:w="1499" w:type="dxa"/>
            <w:vAlign w:val="top"/>
          </w:tcPr>
          <w:p>
            <w:pPr>
              <w:ind w:firstLine="723" w:firstLineChars="4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kern w:val="0"/>
                <w:sz w:val="16"/>
                <w:szCs w:val="16"/>
                <w:lang w:val="hr-HR" w:eastAsia="zh-CN" w:bidi="ar"/>
              </w:rPr>
              <w:t>14.000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6711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5"/>
                <w:szCs w:val="15"/>
                <w:lang w:val="hr-HR"/>
              </w:rPr>
              <w:t>- Osnivač Općina Borovo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9.</w:t>
            </w:r>
            <w:r>
              <w:rPr>
                <w:rFonts w:hint="default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  <w:t>970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9.</w:t>
            </w:r>
            <w:r>
              <w:rPr>
                <w:rFonts w:hint="default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  <w:t>970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5"/>
                <w:szCs w:val="15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  <w:t>4.030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  <w:t>4.030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color w:val="000000"/>
                <w:kern w:val="0"/>
                <w:sz w:val="16"/>
                <w:szCs w:val="16"/>
                <w:lang w:val="hr-HR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24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Materijali i dijelovi za tekuće i investicijsko održavanje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25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Sitni inventar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-</w:t>
            </w: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 iz kuhinje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dječje igračke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 namještaj za sobe dnevnog boravka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9.500 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9.500 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9.500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9.500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27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Radna odjeća i obuća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1.500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1.500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1.500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1.500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32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34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>-</w:t>
            </w: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 xml:space="preserve"> vodovod</w:t>
            </w:r>
          </w:p>
          <w:p>
            <w:pP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 w:val="0"/>
                <w:bCs w:val="0"/>
                <w:color w:val="auto"/>
                <w:sz w:val="16"/>
                <w:szCs w:val="16"/>
                <w:lang w:val="hr-HR"/>
              </w:rPr>
              <w:t>- dimnjačarske usluge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700   </w:t>
            </w: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700   </w:t>
            </w: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700 </w:t>
            </w: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700 </w:t>
            </w: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36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Zdravstvene i veterinarske usluge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  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  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iCs w:val="0"/>
                <w:sz w:val="16"/>
                <w:szCs w:val="16"/>
                <w:lang w:val="hr-HR" w:eastAsia="zh-CN" w:bidi="ar-SA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37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iCs w:val="0"/>
                <w:sz w:val="16"/>
                <w:szCs w:val="16"/>
                <w:lang w:val="hr-HR" w:eastAsia="zh-CN" w:bidi="ar-SA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1584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3.000</w:t>
            </w:r>
          </w:p>
        </w:tc>
        <w:tc>
          <w:tcPr>
            <w:tcW w:w="1499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3.000</w:t>
            </w:r>
          </w:p>
        </w:tc>
        <w:tc>
          <w:tcPr>
            <w:tcW w:w="1472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3.000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3.000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38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1584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39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</w:t>
            </w:r>
            <w:r>
              <w:rPr>
                <w:rFonts w:hint="default" w:cs="Times New Roman"/>
                <w:b/>
                <w:bCs w:val="0"/>
                <w:i w:val="0"/>
                <w:iCs/>
                <w:color w:val="auto"/>
                <w:sz w:val="16"/>
                <w:szCs w:val="16"/>
                <w:lang w:val="hr-HR"/>
              </w:rPr>
              <w:t xml:space="preserve"> 500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 </w:t>
            </w:r>
            <w:r>
              <w:rPr>
                <w:rFonts w:hint="default" w:cs="Times New Roman"/>
                <w:b/>
                <w:bCs w:val="0"/>
                <w:i w:val="0"/>
                <w:iCs/>
                <w:color w:val="auto"/>
                <w:sz w:val="16"/>
                <w:szCs w:val="16"/>
                <w:lang w:val="hr-HR"/>
              </w:rPr>
              <w:t xml:space="preserve"> 500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bCs w:val="0"/>
                <w:i w:val="0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500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bCs w:val="0"/>
                <w:i w:val="0"/>
                <w:iCs/>
                <w:color w:val="auto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500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92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1584" w:type="dxa"/>
            <w:vAlign w:val="top"/>
          </w:tcPr>
          <w:p>
            <w:pPr>
              <w:ind w:firstLine="880" w:firstLineChars="5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ind w:firstLine="880" w:firstLineChars="5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ind w:firstLine="880" w:firstLineChars="5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99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Ostali nespomenuti rashodi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 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</w:t>
            </w: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34</w:t>
            </w: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>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31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sz w:val="16"/>
                <w:szCs w:val="16"/>
                <w:lang w:val="hr-HR"/>
              </w:rPr>
              <w:t>Bankarske usluge</w:t>
            </w:r>
          </w:p>
        </w:tc>
        <w:tc>
          <w:tcPr>
            <w:tcW w:w="1584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99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  <w:t xml:space="preserve">           </w:t>
            </w:r>
            <w:r>
              <w:rPr>
                <w:rFonts w:hint="default" w:cs="Times New Roman"/>
                <w:b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72" w:type="dxa"/>
            <w:vAlign w:val="top"/>
          </w:tcPr>
          <w:p>
            <w:pPr>
              <w:ind w:firstLine="400" w:firstLineChars="25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6526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-Sufinaciranje usluga od strane roditelja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cs="Times New Roman"/>
                <w:b w:val="0"/>
                <w:bCs/>
                <w:i w:val="0"/>
                <w:iCs/>
                <w:color w:val="auto"/>
                <w:sz w:val="16"/>
                <w:szCs w:val="16"/>
                <w:lang w:val="hr-HR"/>
              </w:rPr>
              <w:t xml:space="preserve"> 1.000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4</w:t>
            </w: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sz w:val="20"/>
                <w:szCs w:val="20"/>
                <w:lang w:val="hr-HR"/>
              </w:rPr>
              <w:t>RASHODI ZA NABAVKU NEFINANCIJSKE IMOVINE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zh-CN" w:bidi="ar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zh-CN" w:bidi="ar"/>
              </w:rPr>
              <w:t>60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42</w:t>
            </w: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  <w:t>RASHODI ZA NABAVKU DUGOTRAJNE IMOVINE</w:t>
            </w:r>
          </w:p>
        </w:tc>
        <w:tc>
          <w:tcPr>
            <w:tcW w:w="1584" w:type="dxa"/>
            <w:vAlign w:val="top"/>
          </w:tcPr>
          <w:p>
            <w:pPr>
              <w:ind w:firstLine="883" w:firstLineChars="550"/>
              <w:rPr>
                <w:rFonts w:hint="default" w:ascii="Times New Roman" w:hAnsi="Times New Roman" w:cs="Times New Roman"/>
                <w:b/>
                <w:i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84D1"/>
                <w:kern w:val="0"/>
                <w:sz w:val="16"/>
                <w:szCs w:val="16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0084D1"/>
                <w:kern w:val="0"/>
                <w:sz w:val="16"/>
                <w:szCs w:val="16"/>
                <w:lang w:val="hr-HR" w:eastAsia="zh-CN" w:bidi="ar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ind w:firstLine="803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FF0000"/>
                <w:kern w:val="0"/>
                <w:sz w:val="16"/>
                <w:szCs w:val="16"/>
                <w:lang w:val="hr-HR" w:eastAsia="zh-CN" w:bidi="ar"/>
              </w:rPr>
              <w:t>60</w:t>
            </w:r>
          </w:p>
        </w:tc>
        <w:tc>
          <w:tcPr>
            <w:tcW w:w="1472" w:type="dxa"/>
            <w:vAlign w:val="top"/>
          </w:tcPr>
          <w:p>
            <w:pPr>
              <w:ind w:firstLine="800" w:firstLineChars="500"/>
              <w:rPr>
                <w:rFonts w:hint="default" w:ascii="Times New Roman" w:hAnsi="Times New Roman" w:eastAsia="Times New Roman" w:cs="Times New Roman"/>
                <w:b/>
                <w:i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  <w:t>27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auto"/>
                <w:sz w:val="16"/>
                <w:szCs w:val="16"/>
                <w:lang w:val="hr-HR"/>
              </w:rPr>
              <w:t>Uređaji, strojevi i oprema za ostale namjene</w:t>
            </w:r>
          </w:p>
        </w:tc>
        <w:tc>
          <w:tcPr>
            <w:tcW w:w="1584" w:type="dxa"/>
            <w:vAlign w:val="top"/>
          </w:tcPr>
          <w:p>
            <w:pPr>
              <w:ind w:firstLine="883" w:firstLineChars="550"/>
              <w:rPr>
                <w:rFonts w:hint="default" w:ascii="Times New Roman" w:hAnsi="Times New Roman" w:cs="Times New Roman"/>
                <w:b/>
                <w:i w:val="0"/>
                <w:iCs w:val="0"/>
                <w:color w:val="0070C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ind w:firstLine="803" w:firstLineChars="500"/>
              <w:rPr>
                <w:rFonts w:hint="default" w:ascii="Times New Roman" w:hAnsi="Times New Roman" w:eastAsia="Times New Roman" w:cs="Times New Roman"/>
                <w:b/>
                <w:i w:val="0"/>
                <w:iCs w:val="0"/>
                <w:color w:val="0070C0"/>
                <w:sz w:val="16"/>
                <w:szCs w:val="16"/>
                <w:lang w:val="hr-H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  <w:t>60</w:t>
            </w:r>
          </w:p>
        </w:tc>
        <w:tc>
          <w:tcPr>
            <w:tcW w:w="1472" w:type="dxa"/>
            <w:vAlign w:val="top"/>
          </w:tcPr>
          <w:p>
            <w:pPr>
              <w:ind w:firstLine="720" w:firstLineChars="450"/>
              <w:rPr>
                <w:rFonts w:hint="default" w:ascii="Times New Roman" w:hAnsi="Times New Roman" w:eastAsia="Times New Roman" w:cs="Times New Roman"/>
                <w:b/>
                <w:i w:val="0"/>
                <w:iCs w:val="0"/>
                <w:color w:val="0070C0"/>
                <w:sz w:val="16"/>
                <w:szCs w:val="16"/>
                <w:lang w:val="hr-HR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vAlign w:val="top"/>
          </w:tcPr>
          <w:p>
            <w:pPr>
              <w:rPr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575" w:type="dxa"/>
            <w:gridSpan w:val="3"/>
            <w:vAlign w:val="top"/>
          </w:tcPr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</w:p>
        </w:tc>
        <w:tc>
          <w:tcPr>
            <w:tcW w:w="2462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6631</w:t>
            </w:r>
          </w:p>
          <w:p>
            <w:pP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  <w:p>
            <w:pPr>
              <w:rPr>
                <w:rFonts w:hint="default"/>
                <w:b/>
                <w:i/>
                <w:iCs w:val="0"/>
                <w:sz w:val="16"/>
                <w:szCs w:val="16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16"/>
                <w:szCs w:val="16"/>
                <w:lang w:val="hr-HR"/>
              </w:rPr>
              <w:t>-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16"/>
                <w:szCs w:val="16"/>
                <w:lang w:val="hr-HR"/>
              </w:rPr>
              <w:t xml:space="preserve"> Donacije kroz projekte - SNV i ZVO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hint="default" w:eastAsia="SimSun" w:cs="Times New Roman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lang w:val="en-US" w:eastAsia="zh-CN" w:bidi="ar"/>
              </w:rPr>
              <w:t>2.6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lang w:val="hr-HR" w:eastAsia="zh-CN" w:bidi="ar"/>
              </w:rPr>
              <w:t>60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72" w:type="dxa"/>
            <w:vAlign w:val="top"/>
          </w:tcPr>
          <w:p>
            <w:pPr>
              <w:ind w:firstLine="643" w:firstLineChars="400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lang w:val="en-US" w:eastAsia="zh-CN" w:bidi="ar"/>
              </w:rPr>
            </w:pPr>
          </w:p>
        </w:tc>
      </w:tr>
    </w:tbl>
    <w:p/>
    <w:p/>
    <w:p/>
    <w:p>
      <w:pPr>
        <w:rPr>
          <w:rFonts w:hint="default"/>
          <w:lang w:val="hr-HR"/>
        </w:rPr>
      </w:pPr>
      <w:r>
        <w:rPr>
          <w:rFonts w:hint="default"/>
          <w:lang w:val="hr-HR"/>
        </w:rPr>
        <w:t>Ravnateljica: Radmila Lata</w:t>
      </w:r>
      <w:bookmarkStart w:id="0" w:name="_GoBack"/>
      <w:bookmarkEnd w:id="0"/>
      <w:r>
        <w:rPr>
          <w:rFonts w:hint="default"/>
          <w:lang w:val="hr-HR"/>
        </w:rPr>
        <w:t>s</w:t>
      </w:r>
      <w:r>
        <w:rPr>
          <w:rFonts w:hint="default"/>
          <w:lang w:val="sr-Cyrl-RS"/>
        </w:rPr>
        <w:t xml:space="preserve">                                           </w:t>
      </w:r>
      <w:r>
        <w:rPr>
          <w:rFonts w:hint="default"/>
          <w:lang w:val="hr-HR"/>
        </w:rPr>
        <w:t>Predsjednik Upravnog vijeća: Milan Poznanović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871AB"/>
    <w:rsid w:val="5410645E"/>
    <w:rsid w:val="57A0645B"/>
    <w:rsid w:val="5C0D5AD4"/>
    <w:rsid w:val="7D1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2022-12-15T14:03:00Z</dcterms:created>
  <dc:creator>DV Zlatokosa</dc:creator>
  <cp:lastModifiedBy>DV Zlatokosa</cp:lastModifiedBy>
  <dcterms:modified xsi:type="dcterms:W3CDTF">2023-06-19T11:47:06Z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BA7ECAC3D8074EFABD1FE6536A758C6E</vt:lpwstr>
  </property>
</Properties>
</file>